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D11D29" w:rsidR="003676DF" w:rsidP="003E75F6" w:rsidRDefault="00C42E91" w14:paraId="3AB0134B" w14:textId="07A7695E">
      <w:pPr>
        <w:spacing w:after="120"/>
        <w:jc w:val="center"/>
        <w:rPr>
          <w:b/>
          <w:bCs/>
          <w:sz w:val="28"/>
          <w:szCs w:val="28"/>
        </w:rPr>
      </w:pPr>
      <w:bookmarkStart w:name="OLE_LINK1" w:id="0"/>
      <w:r w:rsidRPr="57BE050B">
        <w:rPr>
          <w:b/>
          <w:bCs/>
          <w:sz w:val="28"/>
          <w:szCs w:val="28"/>
        </w:rPr>
        <w:t>L’université, un bien commun :</w:t>
      </w:r>
      <w:r w:rsidR="003E75F6">
        <w:rPr>
          <w:b/>
          <w:bCs/>
          <w:sz w:val="28"/>
          <w:szCs w:val="28"/>
        </w:rPr>
        <w:t xml:space="preserve"> une </w:t>
      </w:r>
      <w:r w:rsidRPr="003E75F6" w:rsidR="003E75F6">
        <w:rPr>
          <w:b/>
          <w:bCs/>
          <w:sz w:val="28"/>
          <w:szCs w:val="28"/>
        </w:rPr>
        <w:t>action nationale pour que le financement public des universités soit discuté pendant la campagne électorale</w:t>
      </w:r>
    </w:p>
    <w:p w:rsidRPr="003F598B" w:rsidR="003676DF" w:rsidRDefault="00CB7451" w14:paraId="47606E11" w14:textId="6EDE4E3F">
      <w:pPr>
        <w:spacing w:after="160"/>
      </w:pPr>
      <w:r w:rsidRPr="003F598B">
        <w:rPr>
          <w:b/>
          <w:bCs/>
        </w:rPr>
        <w:t>EN BREF</w:t>
      </w:r>
      <w:r w:rsidRPr="003F598B" w:rsidR="003F598B">
        <w:rPr>
          <w:b/>
          <w:bCs/>
        </w:rPr>
        <w:t> </w:t>
      </w:r>
      <w:r w:rsidRPr="003F598B">
        <w:rPr>
          <w:b/>
          <w:bCs/>
        </w:rPr>
        <w:t>:</w:t>
      </w:r>
    </w:p>
    <w:p w:rsidRPr="003F598B" w:rsidR="003676DF" w:rsidRDefault="00C42E91" w14:paraId="596B5DE3" w14:textId="2219E058">
      <w:pPr>
        <w:pStyle w:val="Paragraphedeliste"/>
        <w:numPr>
          <w:ilvl w:val="0"/>
          <w:numId w:val="2"/>
        </w:numPr>
        <w:spacing w:after="160" w:line="264" w:lineRule="auto"/>
        <w:jc w:val="both"/>
        <w:rPr/>
      </w:pPr>
      <w:r w:rsidRPr="55B48B96" w:rsidR="1E567175">
        <w:rPr>
          <w:b w:val="1"/>
          <w:bCs w:val="1"/>
        </w:rPr>
        <w:t xml:space="preserve">Une mobilisation simultanée dans seize </w:t>
      </w:r>
      <w:r w:rsidRPr="55B48B96" w:rsidR="1E567175">
        <w:rPr>
          <w:b w:val="1"/>
          <w:bCs w:val="1"/>
        </w:rPr>
        <w:t>universités</w:t>
      </w:r>
      <w:r w:rsidRPr="55B48B96" w:rsidR="1E567175">
        <w:rPr>
          <w:b w:val="1"/>
          <w:bCs w:val="1"/>
        </w:rPr>
        <w:t xml:space="preserve">. </w:t>
      </w:r>
      <w:r w:rsidR="1E567175">
        <w:rPr/>
        <w:t xml:space="preserve">Ce midi, des membres des communautés universitaires de partout au Québec </w:t>
      </w:r>
      <w:r w:rsidR="3192CE5C">
        <w:rPr/>
        <w:t>déploient</w:t>
      </w:r>
      <w:r w:rsidR="1E567175">
        <w:rPr/>
        <w:t xml:space="preserve"> la bannière « L’université, un bien commun »</w:t>
      </w:r>
      <w:r w:rsidR="1E567175">
        <w:rPr/>
        <w:t xml:space="preserve">, </w:t>
      </w:r>
      <w:r w:rsidR="1E567175">
        <w:rPr/>
        <w:t>à l’appel de la Table des partenaires universitaires (TPU).</w:t>
      </w:r>
    </w:p>
    <w:p w:rsidRPr="003F598B" w:rsidR="003676DF" w:rsidRDefault="00C42E91" w14:paraId="06FDB3E5" w14:textId="5194C65B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 w:rsidRPr="00C42E91">
        <w:rPr>
          <w:b/>
          <w:bCs/>
        </w:rPr>
        <w:t>Des conditions de travail et d’études qui se détériorent</w:t>
      </w:r>
      <w:r w:rsidRPr="003F598B">
        <w:rPr>
          <w:b/>
          <w:bCs/>
        </w:rPr>
        <w:t xml:space="preserve">. </w:t>
      </w:r>
      <w:r w:rsidRPr="00C42E91">
        <w:t>Surcharge, postes laissés vacants, précarité, réduction des services et programmes fragilisés : les difficultés financières des universités ont des conséquences bien concrètes sur les campus.</w:t>
      </w:r>
    </w:p>
    <w:p w:rsidRPr="003F598B" w:rsidR="003676DF" w:rsidRDefault="00C42E91" w14:paraId="4DEB1748" w14:textId="1529D25C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 w:rsidRPr="00C42E91">
        <w:rPr>
          <w:b/>
          <w:bCs/>
        </w:rPr>
        <w:t>Le financement de l’université est une responsabilité collective</w:t>
      </w:r>
      <w:r w:rsidRPr="003F598B">
        <w:rPr>
          <w:b/>
          <w:bCs/>
        </w:rPr>
        <w:t xml:space="preserve">. </w:t>
      </w:r>
      <w:r w:rsidRPr="00C42E91">
        <w:t>La TPU demande aux partis politiques de faire connaître publiquement, d’ici le 5 octobre, leur vision de l’université québécoise et les moyens qu’ils comptent consacrer à sa mission.</w:t>
      </w:r>
    </w:p>
    <w:p w:rsidRPr="00C42E91" w:rsidR="00C42E91" w:rsidP="00C42E91" w:rsidRDefault="00CB7451" w14:paraId="5CE3D0D1" w14:textId="7BD6BD67">
      <w:pPr>
        <w:spacing w:after="200" w:line="264" w:lineRule="auto"/>
        <w:jc w:val="both"/>
      </w:pPr>
      <w:r w:rsidRPr="21C06FBC" w:rsidR="00CB7451">
        <w:rPr>
          <w:b w:val="1"/>
          <w:bCs w:val="1"/>
        </w:rPr>
        <w:t>Montréal, le 22</w:t>
      </w:r>
      <w:r w:rsidRPr="21C06FBC" w:rsidR="003F598B">
        <w:rPr>
          <w:b w:val="1"/>
          <w:bCs w:val="1"/>
        </w:rPr>
        <w:t> </w:t>
      </w:r>
      <w:r w:rsidRPr="21C06FBC" w:rsidR="00CB7451">
        <w:rPr>
          <w:b w:val="1"/>
          <w:bCs w:val="1"/>
        </w:rPr>
        <w:t xml:space="preserve">septembre 2026 — </w:t>
      </w:r>
      <w:r w:rsidR="00C42E91">
        <w:rPr/>
        <w:t xml:space="preserve">À midi aujourd’hui, dans seize établissements aux quatre coins du Québec, des membres des communautés universitaires se </w:t>
      </w:r>
      <w:r w:rsidR="34615379">
        <w:rPr/>
        <w:t>rassemblent</w:t>
      </w:r>
      <w:r w:rsidR="00C42E91">
        <w:rPr/>
        <w:t xml:space="preserve"> </w:t>
      </w:r>
      <w:r w:rsidR="00C42E91">
        <w:rPr/>
        <w:t>pour déployer une même bannière : « L’université, un bien commun : investir dans nos universités, c’est investir dans tout le Québec »</w:t>
      </w:r>
      <w:r w:rsidR="009A0C86">
        <w:rPr/>
        <w:t xml:space="preserve">. </w:t>
      </w:r>
      <w:r w:rsidR="00C42E91">
        <w:rPr/>
        <w:t>Coordonnée par la Table des partenaires universitaires (TPU), cette mobilisation</w:t>
      </w:r>
      <w:r w:rsidR="0993E8A6">
        <w:rPr/>
        <w:t xml:space="preserve"> portée par les syndicats et les associations étudiantes</w:t>
      </w:r>
      <w:r w:rsidR="00C42E91">
        <w:rPr/>
        <w:t xml:space="preserve"> veut rappeler que l’avenir des universités ne concerne pas uniquement celles et ceux qui y travaillent </w:t>
      </w:r>
      <w:r w:rsidR="00C42E91">
        <w:rPr/>
        <w:t>ou</w:t>
      </w:r>
      <w:r w:rsidR="00C42E91">
        <w:rPr/>
        <w:t xml:space="preserve"> y étudient. Il concerne l’ensemble du Québec.</w:t>
      </w:r>
    </w:p>
    <w:p w:rsidRPr="003F598B" w:rsidR="003676DF" w:rsidP="00C42E91" w:rsidRDefault="00C42E91" w14:paraId="5B351230" w14:textId="22C7E404">
      <w:pPr>
        <w:spacing w:after="200" w:line="264" w:lineRule="auto"/>
        <w:jc w:val="both"/>
      </w:pPr>
      <w:r w:rsidR="00C42E91">
        <w:rPr/>
        <w:t xml:space="preserve">Professeures et professeurs, chargées et chargés de cours, étudiantes et étudiants, étudiantes et étudiants salariés, responsables de formation pratique, personnel professionnel, </w:t>
      </w:r>
      <w:r w:rsidR="003E75F6">
        <w:rPr/>
        <w:t xml:space="preserve">professionnelles et professionnels de recherche, </w:t>
      </w:r>
      <w:r w:rsidR="00C42E91">
        <w:rPr/>
        <w:t xml:space="preserve">personnel de soutien et personnel technique </w:t>
      </w:r>
      <w:r w:rsidR="631F6036">
        <w:rPr/>
        <w:t>prennent</w:t>
      </w:r>
      <w:r w:rsidR="00C42E91">
        <w:rPr/>
        <w:t xml:space="preserve"> part à l’action. Malgré des réalités de travail et d’études différentes, toutes ces communautés subissent les effets des difficultés financières </w:t>
      </w:r>
      <w:r w:rsidR="003E75F6">
        <w:rPr/>
        <w:t>auxquelles</w:t>
      </w:r>
      <w:r w:rsidR="00C42E91">
        <w:rPr/>
        <w:t xml:space="preserve"> </w:t>
      </w:r>
      <w:r w:rsidR="003E75F6">
        <w:rPr/>
        <w:t>sont confrontées</w:t>
      </w:r>
      <w:r w:rsidR="00C42E91">
        <w:rPr/>
        <w:t xml:space="preserve"> les universités. </w:t>
      </w:r>
      <w:r w:rsidR="009A0C86">
        <w:rPr/>
        <w:t>Il est important de souligner que c</w:t>
      </w:r>
      <w:r w:rsidR="00C42E91">
        <w:rPr/>
        <w:t>es effets dépassent largement les murs des campus.</w:t>
      </w:r>
    </w:p>
    <w:p w:rsidRPr="003F598B" w:rsidR="003676DF" w:rsidP="003F598B" w:rsidRDefault="00C42E91" w14:paraId="1E079D5F" w14:textId="518D9303">
      <w:pPr>
        <w:spacing w:before="240" w:after="200"/>
      </w:pPr>
      <w:r w:rsidRPr="00C42E91">
        <w:rPr>
          <w:b/>
          <w:bCs/>
          <w:sz w:val="24"/>
          <w:szCs w:val="24"/>
        </w:rPr>
        <w:t>L’université, un bien commun</w:t>
      </w:r>
    </w:p>
    <w:p w:rsidRPr="00C42E91" w:rsidR="00C42E91" w:rsidP="00C42E91" w:rsidRDefault="11E4F2E4" w14:paraId="27239388" w14:textId="7F8F43F5">
      <w:pPr>
        <w:spacing w:after="200" w:line="264" w:lineRule="auto"/>
        <w:jc w:val="both"/>
      </w:pPr>
      <w:r>
        <w:t>Les universités</w:t>
      </w:r>
      <w:r w:rsidR="3A16D80C">
        <w:t xml:space="preserve"> sont une riche</w:t>
      </w:r>
      <w:r w:rsidR="65317B63">
        <w:t>sse</w:t>
      </w:r>
      <w:r w:rsidR="08B45270">
        <w:t xml:space="preserve"> et contribuent significativement au développement de notre société</w:t>
      </w:r>
      <w:r w:rsidR="3A16D80C">
        <w:t>. Elles</w:t>
      </w:r>
      <w:r>
        <w:t xml:space="preserve"> forment les infirmières et les infirmiers,</w:t>
      </w:r>
      <w:r w:rsidR="00E66E5C">
        <w:t xml:space="preserve"> les enseignantes et les enseignants,</w:t>
      </w:r>
      <w:r>
        <w:t xml:space="preserve"> les travailleuses et les travailleurs sociaux</w:t>
      </w:r>
      <w:r w:rsidR="53591086">
        <w:t>, ainsi</w:t>
      </w:r>
      <w:r>
        <w:t xml:space="preserve"> </w:t>
      </w:r>
      <w:r w:rsidR="53591086">
        <w:t>que</w:t>
      </w:r>
      <w:r>
        <w:t xml:space="preserve"> de nombreux autres professionnelles et professionnels dont le Québec a besoin. Elles produisent des connaissances qui éclairent les décisions publiques et contribuent à l’innovation. Elles offrent aux communautés qu’elles servent des espaces essentiels de débat, de recherche et de pensée libre.</w:t>
      </w:r>
      <w:r w:rsidR="20607968">
        <w:t xml:space="preserve"> </w:t>
      </w:r>
      <w:r w:rsidRPr="003E75F6" w:rsidR="003E75F6">
        <w:t>Elles permettent à des générations de citoyennes et de citoyens de développer leur esprit critique et de prendre une part active à la vie collective.</w:t>
      </w:r>
    </w:p>
    <w:p w:rsidRPr="00C42E91" w:rsidR="00C42E91" w:rsidP="00C42E91" w:rsidRDefault="00C42E91" w14:paraId="1ADF955C" w14:textId="610B3F16">
      <w:pPr>
        <w:spacing w:after="200" w:line="264" w:lineRule="auto"/>
        <w:jc w:val="both"/>
      </w:pPr>
      <w:r w:rsidRPr="00C42E91">
        <w:t xml:space="preserve">Dans plusieurs régions, leur rôle est déterminant. Les universités y contribuent au développement économique et social, forment une main-d’œuvre qualifiée et permettent d’attirer et de retenir </w:t>
      </w:r>
      <w:r w:rsidR="009A0C86">
        <w:t>la relève</w:t>
      </w:r>
      <w:r w:rsidRPr="00C42E91">
        <w:t>.</w:t>
      </w:r>
    </w:p>
    <w:p w:rsidRPr="003F598B" w:rsidR="003676DF" w:rsidRDefault="00C42E91" w14:paraId="4BABD8D0" w14:textId="38B487CC">
      <w:pPr>
        <w:spacing w:after="200" w:line="264" w:lineRule="auto"/>
        <w:jc w:val="both"/>
      </w:pPr>
      <w:r>
        <w:lastRenderedPageBreak/>
        <w:t xml:space="preserve">Assurer </w:t>
      </w:r>
      <w:r w:rsidR="009A0C86">
        <w:t>l</w:t>
      </w:r>
      <w:r>
        <w:t>a pérennité</w:t>
      </w:r>
      <w:r w:rsidR="009A0C86">
        <w:t xml:space="preserve"> de </w:t>
      </w:r>
      <w:r w:rsidR="290F4F05">
        <w:t xml:space="preserve">nos </w:t>
      </w:r>
      <w:r w:rsidR="009A0C86">
        <w:t>université</w:t>
      </w:r>
      <w:r w:rsidR="3DAFFA84">
        <w:t>s</w:t>
      </w:r>
      <w:r>
        <w:t xml:space="preserve"> est donc une responsabilité collective</w:t>
      </w:r>
      <w:r w:rsidR="009A0C86">
        <w:t>. Et c’est essentiellement</w:t>
      </w:r>
      <w:r>
        <w:t xml:space="preserve"> une question de choix politiques.</w:t>
      </w:r>
    </w:p>
    <w:p w:rsidRPr="003F598B" w:rsidR="003676DF" w:rsidP="003F598B" w:rsidRDefault="00C42E91" w14:paraId="1AA973E3" w14:textId="018BFB94">
      <w:pPr>
        <w:spacing w:before="240" w:after="200"/>
      </w:pPr>
      <w:r w:rsidRPr="00C42E91">
        <w:rPr>
          <w:b/>
          <w:bCs/>
          <w:sz w:val="24"/>
          <w:szCs w:val="24"/>
        </w:rPr>
        <w:t>Des communautés universitaires sous pression</w:t>
      </w:r>
    </w:p>
    <w:p w:rsidRPr="00C42E91" w:rsidR="00C42E91" w:rsidP="00C42E91" w:rsidRDefault="00C42E91" w14:paraId="4BFF8A23" w14:textId="77777777">
      <w:pPr>
        <w:spacing w:after="200" w:line="264" w:lineRule="auto"/>
        <w:jc w:val="both"/>
      </w:pPr>
      <w:r w:rsidRPr="00C42E91">
        <w:t>Depuis plusieurs années, les conditions dans lesquelles la mission universitaire est accomplie se détériorent. Sur les campus, les mêmes problèmes reviennent : surcharge de travail, postes non pourvus, emplois précaires, services réduits, recherche freinée et programmes fragilisés.</w:t>
      </w:r>
    </w:p>
    <w:p w:rsidRPr="003F598B" w:rsidR="003676DF" w:rsidRDefault="6CE35367" w14:paraId="446785A1" w14:textId="5E615637">
      <w:pPr>
        <w:spacing w:after="200" w:line="264" w:lineRule="auto"/>
        <w:jc w:val="both"/>
      </w:pPr>
      <w:r>
        <w:t>Les conséquences</w:t>
      </w:r>
      <w:r w:rsidR="6760FC64">
        <w:t xml:space="preserve"> de cette situation</w:t>
      </w:r>
      <w:r>
        <w:t xml:space="preserve"> sont immédiates</w:t>
      </w:r>
      <w:r w:rsidR="6760FC64">
        <w:t xml:space="preserve"> et tangibles</w:t>
      </w:r>
      <w:r>
        <w:t xml:space="preserve">. Lorsqu’une professeure, un professeur, une chargée ou un chargé de cours doit composer avec une surcharge de travail persistante, la qualité de l’enseignement et le temps pouvant être consacré à la recherche en souffrent. </w:t>
      </w:r>
      <w:r w:rsidR="6760FC64">
        <w:t>U</w:t>
      </w:r>
      <w:r>
        <w:t xml:space="preserve">n poste </w:t>
      </w:r>
      <w:r w:rsidR="688A28CD">
        <w:t xml:space="preserve">de </w:t>
      </w:r>
      <w:r>
        <w:t xml:space="preserve">professionnel ou de soutien </w:t>
      </w:r>
      <w:r w:rsidR="6760FC64">
        <w:t xml:space="preserve">qui </w:t>
      </w:r>
      <w:r>
        <w:t>demeure vacant</w:t>
      </w:r>
      <w:r w:rsidR="6760FC64">
        <w:t xml:space="preserve"> entraîne une réduction</w:t>
      </w:r>
      <w:r>
        <w:t xml:space="preserve"> des services destinés aux étudiantes et aux étudiants. Lorsqu’un programme ferme en région, c’est parfois toute une collectivité qui voit s’éloigner l’accès à la formation universitaire. Et </w:t>
      </w:r>
      <w:r w:rsidR="6760FC64">
        <w:t>de</w:t>
      </w:r>
      <w:r>
        <w:t xml:space="preserve">s frais de scolarité </w:t>
      </w:r>
      <w:r w:rsidR="6760FC64">
        <w:t xml:space="preserve">qui </w:t>
      </w:r>
      <w:r>
        <w:t>augmentent pour pallier les difficultés financières de nos universités</w:t>
      </w:r>
      <w:r w:rsidR="003E75F6">
        <w:t>,</w:t>
      </w:r>
      <w:r w:rsidR="6760FC64">
        <w:t xml:space="preserve"> frappent plus durement les</w:t>
      </w:r>
      <w:r>
        <w:t xml:space="preserve"> </w:t>
      </w:r>
      <w:r w:rsidR="6760FC64">
        <w:t>familles</w:t>
      </w:r>
      <w:r>
        <w:t xml:space="preserve"> les plus défavorisées.</w:t>
      </w:r>
    </w:p>
    <w:p w:rsidRPr="00C42E91" w:rsidR="003676DF" w:rsidP="003F598B" w:rsidRDefault="00C42E91" w14:paraId="527E5CDC" w14:textId="12A6D33C">
      <w:pPr>
        <w:spacing w:before="240" w:after="200"/>
        <w:rPr>
          <w:b/>
          <w:bCs/>
          <w:sz w:val="24"/>
          <w:szCs w:val="24"/>
        </w:rPr>
      </w:pPr>
      <w:r w:rsidRPr="00C42E91">
        <w:rPr>
          <w:b/>
          <w:bCs/>
          <w:sz w:val="24"/>
          <w:szCs w:val="24"/>
        </w:rPr>
        <w:t>Un financement public, prévisible et récurrent</w:t>
      </w:r>
    </w:p>
    <w:p w:rsidRPr="00C42E91" w:rsidR="00C42E91" w:rsidP="00C42E91" w:rsidRDefault="00C42E91" w14:paraId="70C28E63" w14:textId="368D9011">
      <w:pPr>
        <w:spacing w:after="200" w:line="264" w:lineRule="auto"/>
        <w:jc w:val="both"/>
      </w:pPr>
      <w:r w:rsidRPr="00C42E91">
        <w:t xml:space="preserve">La TPU le réaffirme : </w:t>
      </w:r>
      <w:r w:rsidR="003822C9">
        <w:t>p</w:t>
      </w:r>
      <w:r w:rsidRPr="003822C9" w:rsidR="003822C9">
        <w:t>our garantir que les universités puissent s’acquitter de leur mission et demeurer réellement au service de l’ensemble de la population, leur financement doit relever d’un effort collectif</w:t>
      </w:r>
      <w:r w:rsidRPr="00C42E91">
        <w:t>.</w:t>
      </w:r>
    </w:p>
    <w:p w:rsidRPr="003F598B" w:rsidR="003676DF" w:rsidP="00D11D29" w:rsidRDefault="2D22EA45" w14:paraId="7CA3803D" w14:textId="269F91C4">
      <w:pPr>
        <w:spacing w:after="200" w:line="264" w:lineRule="auto"/>
        <w:jc w:val="both"/>
      </w:pPr>
      <w:r>
        <w:t>Le Québec a fait le choix de bâtir un réseau universitaire largement accessible et financé publiquement. Ce choix a joué un rôle majeur dans son développement social, économique, scientifique et culturel. Il demeure aujourd’hui essentiel</w:t>
      </w:r>
      <w:r w:rsidR="64AC7F11">
        <w:t xml:space="preserve"> de réaffirmer l’engagement</w:t>
      </w:r>
      <w:r w:rsidR="72BC930E">
        <w:t xml:space="preserve"> </w:t>
      </w:r>
      <w:r w:rsidR="64AC7F11">
        <w:t>de l’État</w:t>
      </w:r>
      <w:r w:rsidR="09A50556">
        <w:t xml:space="preserve"> et de rehausser la part du financement</w:t>
      </w:r>
      <w:r>
        <w:t xml:space="preserve"> </w:t>
      </w:r>
      <w:r w:rsidR="60DE11FE">
        <w:t xml:space="preserve">public </w:t>
      </w:r>
      <w:r>
        <w:t xml:space="preserve">pour maintenir </w:t>
      </w:r>
      <w:r w:rsidR="0C80643B">
        <w:t>des</w:t>
      </w:r>
      <w:r>
        <w:t xml:space="preserve"> université</w:t>
      </w:r>
      <w:r w:rsidR="40D45A33">
        <w:t>s</w:t>
      </w:r>
      <w:r>
        <w:t xml:space="preserve"> accessible</w:t>
      </w:r>
      <w:r w:rsidR="40D45A33">
        <w:t>s</w:t>
      </w:r>
      <w:r>
        <w:t>, dans toutes les régions, sans transférer une part toujours plus importante de son financement aux étudiantes et aux étudiants.</w:t>
      </w:r>
      <w:r w:rsidR="7A222CB7">
        <w:t xml:space="preserve"> </w:t>
      </w:r>
      <w:r w:rsidR="4A132443">
        <w:t>Il faut renverser la tendance au</w:t>
      </w:r>
      <w:r w:rsidR="7A222CB7">
        <w:t xml:space="preserve"> désengagement de l’Éta</w:t>
      </w:r>
      <w:r w:rsidR="0595AF64">
        <w:t>t</w:t>
      </w:r>
      <w:r w:rsidR="4714C70C">
        <w:t xml:space="preserve"> </w:t>
      </w:r>
      <w:r w:rsidR="003E75F6">
        <w:t>à l’égard de</w:t>
      </w:r>
      <w:r w:rsidR="4714C70C">
        <w:t xml:space="preserve"> ces institutions centrales </w:t>
      </w:r>
      <w:r w:rsidR="7A765035">
        <w:t>pour</w:t>
      </w:r>
      <w:r w:rsidR="4714C70C">
        <w:t xml:space="preserve"> notre société.</w:t>
      </w:r>
      <w:r w:rsidR="003E75F6">
        <w:t xml:space="preserve"> </w:t>
      </w:r>
      <w:r w:rsidR="00C42E91">
        <w:t xml:space="preserve">La campagne électorale doit devenir l’occasion d’un débat sur l’avenir du réseau universitaire. La TPU demande donc à l’ensemble des partis politiques de faire connaître publiquement, d’ici le </w:t>
      </w:r>
      <w:r w:rsidRPr="66397F4F" w:rsidR="00C42E91">
        <w:rPr>
          <w:b/>
          <w:bCs/>
        </w:rPr>
        <w:t>5 octobre</w:t>
      </w:r>
      <w:r w:rsidR="00C42E91">
        <w:t>, leurs réponses aux questions suivantes :</w:t>
      </w:r>
    </w:p>
    <w:p w:rsidR="35A12AB7" w:rsidP="35A12AB7" w:rsidRDefault="66557E33" w14:paraId="4F750A7F" w14:textId="3E1D39FA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 xml:space="preserve">S’engagent-ils à </w:t>
      </w:r>
      <w:r w:rsidR="5BDC17BE">
        <w:t xml:space="preserve">réinvestir de l’argent public </w:t>
      </w:r>
      <w:r w:rsidR="01BFEEF5">
        <w:t>pour soutenir la mission</w:t>
      </w:r>
      <w:r w:rsidR="5BDC17BE">
        <w:t xml:space="preserve"> </w:t>
      </w:r>
      <w:r w:rsidR="388BF36E">
        <w:t>d</w:t>
      </w:r>
      <w:r>
        <w:t>es universités</w:t>
      </w:r>
      <w:r w:rsidR="7865BDC8">
        <w:t>?</w:t>
      </w:r>
    </w:p>
    <w:p w:rsidRPr="00C42E91" w:rsidR="00C42E91" w:rsidP="00C42E91" w:rsidRDefault="00C42E91" w14:paraId="65728AD1" w14:textId="77777777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>
        <w:t>Quelle place accordent-ils aux universités dans leur vision du Québec et quels moyens publics comptent-ils consacrer à leurs missions d’enseignement, de recherche et de service à la collectivité, dans toutes les régions?</w:t>
      </w:r>
    </w:p>
    <w:p w:rsidRPr="00C42E91" w:rsidR="00C42E91" w:rsidP="00C42E91" w:rsidRDefault="00C42E91" w14:paraId="76445A0D" w14:textId="77777777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 w:rsidRPr="00C42E91">
        <w:t>Comment entendent-ils préserver l’accessibilité aux études universitaires pour l’ensemble de la population?</w:t>
      </w:r>
    </w:p>
    <w:p w:rsidRPr="00C42E91" w:rsidR="003676DF" w:rsidP="00C42E91" w:rsidRDefault="00C42E91" w14:paraId="302A89E1" w14:textId="60F42478">
      <w:pPr>
        <w:pStyle w:val="Paragraphedeliste"/>
        <w:numPr>
          <w:ilvl w:val="0"/>
          <w:numId w:val="2"/>
        </w:numPr>
        <w:spacing w:after="160" w:line="264" w:lineRule="auto"/>
        <w:jc w:val="both"/>
      </w:pPr>
      <w:r w:rsidRPr="00C42E91">
        <w:t>Quels moyens proposent-ils pour assurer des conditions de travail et d’études permettant aux communautés universitaires d’accomplir pleinement leur mission?</w:t>
      </w:r>
    </w:p>
    <w:p w:rsidRPr="003F598B" w:rsidR="003676DF" w:rsidP="003F598B" w:rsidRDefault="00CB7451" w14:paraId="002510F3" w14:textId="424633EC">
      <w:pPr>
        <w:spacing w:before="240" w:after="200"/>
      </w:pPr>
      <w:r w:rsidRPr="003F598B">
        <w:rPr>
          <w:b/>
          <w:bCs/>
          <w:sz w:val="24"/>
          <w:szCs w:val="24"/>
        </w:rPr>
        <w:t xml:space="preserve">Seize </w:t>
      </w:r>
      <w:r w:rsidR="00C42E91">
        <w:rPr>
          <w:b/>
          <w:bCs/>
          <w:sz w:val="24"/>
          <w:szCs w:val="24"/>
        </w:rPr>
        <w:t>universités</w:t>
      </w:r>
      <w:r w:rsidRPr="003F598B">
        <w:rPr>
          <w:b/>
          <w:bCs/>
          <w:sz w:val="24"/>
          <w:szCs w:val="24"/>
        </w:rPr>
        <w:t>, une seule bannière</w:t>
      </w:r>
    </w:p>
    <w:p w:rsidRPr="00C42E91" w:rsidR="00C42E91" w:rsidP="00C42E91" w:rsidRDefault="00C42E91" w14:paraId="4433AB97" w14:textId="2B5D8C2F">
      <w:pPr>
        <w:spacing w:after="200" w:line="264" w:lineRule="auto"/>
        <w:jc w:val="both"/>
      </w:pPr>
      <w:r w:rsidR="00C42E91">
        <w:rPr/>
        <w:t xml:space="preserve">Les communautés universitaires des établissements suivants </w:t>
      </w:r>
      <w:r w:rsidR="3C2D6B83">
        <w:rPr/>
        <w:t>participent</w:t>
      </w:r>
      <w:r w:rsidR="00C42E91">
        <w:rPr/>
        <w:t xml:space="preserve"> au déploiement simultané de la bannière : l’Université </w:t>
      </w:r>
      <w:r w:rsidR="00C42E91">
        <w:rPr/>
        <w:t>Bishop’s</w:t>
      </w:r>
      <w:r w:rsidR="00C42E91">
        <w:rPr/>
        <w:t>, l’Université Concordia, l’École de technologie supérieure (ÉTS), l’Institut national de la recherche scientifique (INRS), l’Université Laval, l’Université McGill, l’Université de Montréal, Polytechnique Montréal, l’Université du Québec en Abitibi-Témiscamingue (UQAT), l’Université du Québec à Chicoutimi (UQAC), l’Université du Québec à Montréal (UQAM), l’Université du Québec en Outaouais (UQO), l’Université du Québec à Rimouski (UQAR), l’Université du Québec à Trois-Rivières (UQTR), l’Université de Sherbrooke et l’Université TÉLUQ.</w:t>
      </w:r>
    </w:p>
    <w:p w:rsidRPr="00C42E91" w:rsidR="00C42E91" w:rsidP="00C42E91" w:rsidRDefault="00C42E91" w14:paraId="0D4AA995" w14:textId="77777777">
      <w:pPr>
        <w:spacing w:after="200" w:line="264" w:lineRule="auto"/>
        <w:jc w:val="both"/>
      </w:pPr>
      <w:r w:rsidRPr="00C42E91">
        <w:t>Dans chaque établissement, le rassemblement a été organisé conjointement par des syndicats et des associations étudiantes locales.</w:t>
      </w:r>
    </w:p>
    <w:p w:rsidRPr="003F598B" w:rsidR="003676DF" w:rsidRDefault="003F598B" w14:paraId="218C951F" w14:textId="0A39140A">
      <w:pPr>
        <w:spacing w:before="240" w:after="360"/>
        <w:jc w:val="center"/>
      </w:pPr>
      <w:r w:rsidRPr="003F598B">
        <w:rPr>
          <w:b/>
          <w:bCs/>
        </w:rPr>
        <w:t>— 30 —</w:t>
      </w:r>
    </w:p>
    <w:p w:rsidRPr="003F598B" w:rsidR="003676DF" w:rsidRDefault="00CB7451" w14:paraId="294184FA" w14:textId="77777777">
      <w:pPr>
        <w:spacing w:after="120"/>
      </w:pPr>
      <w:r w:rsidRPr="003F598B">
        <w:rPr>
          <w:b/>
          <w:bCs/>
        </w:rPr>
        <w:t>À propos de la Table des partenaires universitaires</w:t>
      </w:r>
    </w:p>
    <w:p w:rsidRPr="00C42E91" w:rsidR="00C42E91" w:rsidP="00D11D29" w:rsidRDefault="00C42E91" w14:paraId="12A51D9E" w14:textId="6DE05C5B">
      <w:pPr>
        <w:spacing w:before="120" w:after="120"/>
        <w:jc w:val="both"/>
      </w:pPr>
      <w:r w:rsidRPr="00C42E91">
        <w:t>La Table des partenaires universitaires (TPU) réunit des organisations nationales représentant les différentes communautés universitaires du Québec</w:t>
      </w:r>
      <w:r>
        <w:t> </w:t>
      </w:r>
      <w:r w:rsidRPr="00C42E91">
        <w:t>: professeures et professeurs, chargées et chargés de cours, étudiantes et étudiants, étudiantes et étudiants salariés, responsables de formation pratique, personnel professionnel, personnel de soutien et personnel technique.</w:t>
      </w:r>
    </w:p>
    <w:p w:rsidRPr="00C42E91" w:rsidR="00C42E91" w:rsidP="00D11D29" w:rsidRDefault="00C42E91" w14:paraId="636DE5C0" w14:textId="77777777">
      <w:pPr>
        <w:spacing w:before="120" w:after="120"/>
        <w:jc w:val="both"/>
      </w:pPr>
      <w:r w:rsidRPr="00C42E91">
        <w:t>Lieu de concertation intersyndicale et interassociative, la TPU intervient conjointement pour défendre la mission publique des universités québécoises et les conditions nécessaires à son accomplissement.</w:t>
      </w:r>
    </w:p>
    <w:p w:rsidRPr="003F598B" w:rsidR="003676DF" w:rsidRDefault="00CB7451" w14:paraId="3362B6DE" w14:textId="77777777">
      <w:pPr>
        <w:spacing w:before="120" w:after="120"/>
      </w:pPr>
      <w:r w:rsidRPr="003F598B">
        <w:rPr>
          <w:b/>
          <w:bCs/>
        </w:rPr>
        <w:t>Note aux médias</w:t>
      </w:r>
    </w:p>
    <w:p w:rsidRPr="00C42E91" w:rsidR="00C42E91" w:rsidP="00D11D29" w:rsidRDefault="00C42E91" w14:paraId="0D58D322" w14:textId="3AF3BAA5">
      <w:pPr>
        <w:keepNext w:val="1"/>
        <w:spacing w:before="120" w:after="120"/>
        <w:jc w:val="both"/>
      </w:pPr>
      <w:r w:rsidR="00C42E91">
        <w:rPr/>
        <w:t>Des photos des rassemblements organisés dans les établissements participants s</w:t>
      </w:r>
      <w:r w:rsidR="5857E7A3">
        <w:rPr/>
        <w:t>eront</w:t>
      </w:r>
      <w:r w:rsidR="00C42E91">
        <w:rPr/>
        <w:t xml:space="preserve"> disponibles sur demande. Des porte-parole de la TPU et de ses organisations membres sont également disponibles pour des entrevues.</w:t>
      </w:r>
    </w:p>
    <w:p w:rsidRPr="003F598B" w:rsidR="003676DF" w:rsidRDefault="00CB7451" w14:paraId="5721EE59" w14:textId="48570C28">
      <w:pPr>
        <w:keepNext/>
        <w:spacing w:before="120" w:after="120"/>
      </w:pPr>
      <w:r w:rsidRPr="003F598B">
        <w:rPr>
          <w:b/>
          <w:bCs/>
        </w:rPr>
        <w:t>Pour plus d</w:t>
      </w:r>
      <w:r w:rsidRPr="003F598B" w:rsidR="003F598B">
        <w:rPr>
          <w:b/>
          <w:bCs/>
        </w:rPr>
        <w:t>’</w:t>
      </w:r>
      <w:r w:rsidRPr="003F598B">
        <w:rPr>
          <w:b/>
          <w:bCs/>
        </w:rPr>
        <w:t>information ou pour toute demande d</w:t>
      </w:r>
      <w:r w:rsidRPr="003F598B" w:rsidR="003F598B">
        <w:rPr>
          <w:b/>
          <w:bCs/>
        </w:rPr>
        <w:t>’</w:t>
      </w:r>
      <w:r w:rsidRPr="003F598B">
        <w:rPr>
          <w:b/>
          <w:bCs/>
        </w:rPr>
        <w:t>entrevue</w:t>
      </w:r>
      <w:r w:rsidRPr="003F598B" w:rsidR="003F598B">
        <w:rPr>
          <w:b/>
          <w:bCs/>
        </w:rPr>
        <w:t> </w:t>
      </w:r>
      <w:r w:rsidRPr="003F598B">
        <w:rPr>
          <w:b/>
          <w:bCs/>
        </w:rPr>
        <w:t>:</w:t>
      </w:r>
    </w:p>
    <w:p w:rsidR="003E75F6" w:rsidP="003E75F6" w:rsidRDefault="003E75F6" w14:paraId="46B7E420" w14:textId="77777777">
      <w:pPr>
        <w:keepNext/>
        <w:rPr>
          <w:b/>
          <w:bCs/>
        </w:rPr>
      </w:pPr>
      <w:r w:rsidRPr="003E75F6">
        <w:rPr>
          <w:b/>
          <w:bCs/>
        </w:rPr>
        <w:t>Martin Robert</w:t>
      </w:r>
    </w:p>
    <w:p w:rsidR="003E75F6" w:rsidP="003E75F6" w:rsidRDefault="003E75F6" w14:paraId="17B76BFB" w14:textId="77777777">
      <w:pPr>
        <w:keepNext/>
      </w:pPr>
      <w:r w:rsidRPr="003E75F6">
        <w:t>Conseiller aux communications</w:t>
      </w:r>
    </w:p>
    <w:p w:rsidRPr="003F598B" w:rsidR="003E75F6" w:rsidP="003E75F6" w:rsidRDefault="003E75F6" w14:paraId="72B6332E" w14:textId="77777777">
      <w:pPr>
        <w:keepNext/>
      </w:pPr>
      <w:r w:rsidRPr="003E75F6">
        <w:t>FNEEQ-CSN</w:t>
      </w:r>
      <w:r>
        <w:t xml:space="preserve"> </w:t>
      </w:r>
      <w:r w:rsidRPr="003F598B">
        <w:t>(pour la Table des partenaires universitaires)</w:t>
      </w:r>
    </w:p>
    <w:p w:rsidRPr="003F598B" w:rsidR="003E75F6" w:rsidP="003E75F6" w:rsidRDefault="003E75F6" w14:paraId="52D651FD" w14:textId="77777777">
      <w:pPr>
        <w:keepNext/>
      </w:pPr>
      <w:r w:rsidRPr="003E75F6">
        <w:t>514-377-6985</w:t>
      </w:r>
    </w:p>
    <w:p w:rsidR="003E75F6" w:rsidP="003E75F6" w:rsidRDefault="003E75F6" w14:paraId="28B7B1AA" w14:textId="3DAC1D03">
      <w:pPr>
        <w:keepNext/>
        <w:rPr>
          <w:b/>
          <w:bCs/>
        </w:rPr>
      </w:pPr>
      <w:r w:rsidRPr="00D11D29">
        <w:t>Martin.Robert@csn.qc.ca</w:t>
      </w:r>
    </w:p>
    <w:p w:rsidR="003E75F6" w:rsidRDefault="003E75F6" w14:paraId="6EE6D8C9" w14:textId="77777777">
      <w:pPr>
        <w:keepNext/>
        <w:rPr>
          <w:b/>
          <w:bCs/>
        </w:rPr>
      </w:pPr>
    </w:p>
    <w:p w:rsidRPr="003F598B" w:rsidR="003676DF" w:rsidRDefault="00CB7451" w14:paraId="4BC1A905" w14:textId="5BABF51A">
      <w:pPr>
        <w:keepNext/>
      </w:pPr>
      <w:r w:rsidRPr="003F598B">
        <w:rPr>
          <w:b/>
          <w:bCs/>
        </w:rPr>
        <w:t>Émile Bordeleau-Pitre</w:t>
      </w:r>
    </w:p>
    <w:p w:rsidRPr="003F598B" w:rsidR="003E2B12" w:rsidRDefault="00CB7451" w14:paraId="5BDC1373" w14:textId="77777777">
      <w:pPr>
        <w:keepNext/>
      </w:pPr>
      <w:r w:rsidRPr="003F598B">
        <w:t>Conseiller stratégique en communications</w:t>
      </w:r>
    </w:p>
    <w:p w:rsidRPr="003F598B" w:rsidR="003676DF" w:rsidRDefault="00CB7451" w14:paraId="5F7DF2BE" w14:textId="7255AD08">
      <w:pPr>
        <w:keepNext/>
      </w:pPr>
      <w:r w:rsidRPr="003F598B">
        <w:t xml:space="preserve">FQPPU </w:t>
      </w:r>
      <w:r w:rsidRPr="003F598B" w:rsidR="003E2B12">
        <w:t>(</w:t>
      </w:r>
      <w:r w:rsidRPr="003F598B">
        <w:t>pour la Table des partenaires universitaires</w:t>
      </w:r>
      <w:r w:rsidRPr="003F598B" w:rsidR="003E2B12">
        <w:t>)</w:t>
      </w:r>
    </w:p>
    <w:p w:rsidRPr="003F598B" w:rsidR="003676DF" w:rsidRDefault="00CB7451" w14:paraId="7DD63943" w14:textId="77777777">
      <w:pPr>
        <w:keepNext/>
      </w:pPr>
      <w:r w:rsidRPr="003F598B">
        <w:t>514-692-3643</w:t>
      </w:r>
    </w:p>
    <w:p w:rsidRPr="003F598B" w:rsidR="003676DF" w:rsidP="00D11D29" w:rsidRDefault="003E75F6" w14:paraId="12C10A30" w14:textId="0A3FB5BE">
      <w:pPr>
        <w:keepNext/>
        <w:spacing w:after="240"/>
      </w:pPr>
      <w:r w:rsidRPr="00D11D29">
        <w:t>emile.bordeleau-pitre@fqppu.org</w:t>
      </w:r>
      <w:bookmarkEnd w:id="0"/>
    </w:p>
    <w:sectPr w:rsidRPr="003F598B" w:rsidR="003676DF">
      <w:pgSz w:w="12240" w:h="15840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BD2641"/>
    <w:multiLevelType w:val="hybridMultilevel"/>
    <w:tmpl w:val="8242A364"/>
    <w:lvl w:ilvl="0" w:tplc="E30CCBBC">
      <w:start w:val="1"/>
      <w:numFmt w:val="bullet"/>
      <w:lvlText w:val="•"/>
      <w:lvlJc w:val="left"/>
      <w:pPr>
        <w:ind w:left="720" w:hanging="360"/>
      </w:pPr>
      <w:rPr>
        <w:rFonts w:ascii="Arial" w:hAnsi="Arial" w:eastAsia="Arial" w:cs="Arial"/>
        <w:sz w:val="22"/>
        <w:szCs w:val="22"/>
      </w:rPr>
    </w:lvl>
    <w:lvl w:ilvl="1" w:tplc="86806972">
      <w:numFmt w:val="decimal"/>
      <w:lvlText w:val=""/>
      <w:lvlJc w:val="left"/>
    </w:lvl>
    <w:lvl w:ilvl="2" w:tplc="D4881442">
      <w:numFmt w:val="decimal"/>
      <w:lvlText w:val=""/>
      <w:lvlJc w:val="left"/>
    </w:lvl>
    <w:lvl w:ilvl="3" w:tplc="6DC24D18">
      <w:numFmt w:val="decimal"/>
      <w:lvlText w:val=""/>
      <w:lvlJc w:val="left"/>
    </w:lvl>
    <w:lvl w:ilvl="4" w:tplc="E452D63C">
      <w:numFmt w:val="decimal"/>
      <w:lvlText w:val=""/>
      <w:lvlJc w:val="left"/>
    </w:lvl>
    <w:lvl w:ilvl="5" w:tplc="51C67B28">
      <w:numFmt w:val="decimal"/>
      <w:lvlText w:val=""/>
      <w:lvlJc w:val="left"/>
    </w:lvl>
    <w:lvl w:ilvl="6" w:tplc="2CF898EA">
      <w:numFmt w:val="decimal"/>
      <w:lvlText w:val=""/>
      <w:lvlJc w:val="left"/>
    </w:lvl>
    <w:lvl w:ilvl="7" w:tplc="DB76C854">
      <w:numFmt w:val="decimal"/>
      <w:lvlText w:val=""/>
      <w:lvlJc w:val="left"/>
    </w:lvl>
    <w:lvl w:ilvl="8" w:tplc="DC22BFB4">
      <w:numFmt w:val="decimal"/>
      <w:lvlText w:val=""/>
      <w:lvlJc w:val="left"/>
    </w:lvl>
  </w:abstractNum>
  <w:abstractNum w:abstractNumId="1" w15:restartNumberingAfterBreak="0">
    <w:nsid w:val="66784FB1"/>
    <w:multiLevelType w:val="multilevel"/>
    <w:tmpl w:val="FB160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7DAB5D42"/>
    <w:multiLevelType w:val="hybridMultilevel"/>
    <w:tmpl w:val="0FA8F67C"/>
    <w:lvl w:ilvl="0" w:tplc="ABD48978">
      <w:start w:val="1"/>
      <w:numFmt w:val="bullet"/>
      <w:lvlText w:val="●"/>
      <w:lvlJc w:val="left"/>
      <w:pPr>
        <w:ind w:left="720" w:hanging="360"/>
      </w:pPr>
    </w:lvl>
    <w:lvl w:ilvl="1" w:tplc="2760F656">
      <w:start w:val="1"/>
      <w:numFmt w:val="bullet"/>
      <w:lvlText w:val="○"/>
      <w:lvlJc w:val="left"/>
      <w:pPr>
        <w:ind w:left="1440" w:hanging="360"/>
      </w:pPr>
    </w:lvl>
    <w:lvl w:ilvl="2" w:tplc="D1B81AC0">
      <w:start w:val="1"/>
      <w:numFmt w:val="bullet"/>
      <w:lvlText w:val="■"/>
      <w:lvlJc w:val="left"/>
      <w:pPr>
        <w:ind w:left="2160" w:hanging="360"/>
      </w:pPr>
    </w:lvl>
    <w:lvl w:ilvl="3" w:tplc="79D8DC12">
      <w:start w:val="1"/>
      <w:numFmt w:val="bullet"/>
      <w:lvlText w:val="●"/>
      <w:lvlJc w:val="left"/>
      <w:pPr>
        <w:ind w:left="2880" w:hanging="360"/>
      </w:pPr>
    </w:lvl>
    <w:lvl w:ilvl="4" w:tplc="32EE55D6">
      <w:start w:val="1"/>
      <w:numFmt w:val="bullet"/>
      <w:lvlText w:val="○"/>
      <w:lvlJc w:val="left"/>
      <w:pPr>
        <w:ind w:left="3600" w:hanging="360"/>
      </w:pPr>
    </w:lvl>
    <w:lvl w:ilvl="5" w:tplc="4FBE8A3C">
      <w:start w:val="1"/>
      <w:numFmt w:val="bullet"/>
      <w:lvlText w:val="■"/>
      <w:lvlJc w:val="left"/>
      <w:pPr>
        <w:ind w:left="4320" w:hanging="360"/>
      </w:pPr>
    </w:lvl>
    <w:lvl w:ilvl="6" w:tplc="BDD41856">
      <w:start w:val="1"/>
      <w:numFmt w:val="bullet"/>
      <w:lvlText w:val="●"/>
      <w:lvlJc w:val="left"/>
      <w:pPr>
        <w:ind w:left="5040" w:hanging="360"/>
      </w:pPr>
    </w:lvl>
    <w:lvl w:ilvl="7" w:tplc="E146EB20">
      <w:start w:val="1"/>
      <w:numFmt w:val="bullet"/>
      <w:lvlText w:val="●"/>
      <w:lvlJc w:val="left"/>
      <w:pPr>
        <w:ind w:left="5760" w:hanging="360"/>
      </w:pPr>
    </w:lvl>
    <w:lvl w:ilvl="8" w:tplc="CE16981C">
      <w:start w:val="1"/>
      <w:numFmt w:val="bullet"/>
      <w:lvlText w:val="●"/>
      <w:lvlJc w:val="left"/>
      <w:pPr>
        <w:ind w:left="6480" w:hanging="360"/>
      </w:pPr>
    </w:lvl>
  </w:abstractNum>
  <w:num w:numId="1" w16cid:durableId="569535865">
    <w:abstractNumId w:val="2"/>
    <w:lvlOverride w:ilvl="0">
      <w:startOverride w:val="1"/>
    </w:lvlOverride>
  </w:num>
  <w:num w:numId="2" w16cid:durableId="1116363986">
    <w:abstractNumId w:val="0"/>
    <w:lvlOverride w:ilvl="0">
      <w:startOverride w:val="1"/>
    </w:lvlOverride>
  </w:num>
  <w:num w:numId="3" w16cid:durableId="11740262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DF"/>
    <w:rsid w:val="00013823"/>
    <w:rsid w:val="00070D14"/>
    <w:rsid w:val="000F49C8"/>
    <w:rsid w:val="003676DF"/>
    <w:rsid w:val="003822C9"/>
    <w:rsid w:val="003E2B12"/>
    <w:rsid w:val="003E2FCF"/>
    <w:rsid w:val="003E75F6"/>
    <w:rsid w:val="003F598B"/>
    <w:rsid w:val="004A1826"/>
    <w:rsid w:val="004B716B"/>
    <w:rsid w:val="005E710A"/>
    <w:rsid w:val="006F6E76"/>
    <w:rsid w:val="0091654E"/>
    <w:rsid w:val="00952ECE"/>
    <w:rsid w:val="009A0C86"/>
    <w:rsid w:val="00AD36D1"/>
    <w:rsid w:val="00B07A5E"/>
    <w:rsid w:val="00B62DCE"/>
    <w:rsid w:val="00B75948"/>
    <w:rsid w:val="00C10746"/>
    <w:rsid w:val="00C42E91"/>
    <w:rsid w:val="00CB7451"/>
    <w:rsid w:val="00D11D29"/>
    <w:rsid w:val="00E66E5C"/>
    <w:rsid w:val="00E7612A"/>
    <w:rsid w:val="00ED10DC"/>
    <w:rsid w:val="00F35DA3"/>
    <w:rsid w:val="00F7605E"/>
    <w:rsid w:val="00FB35B4"/>
    <w:rsid w:val="00FC78C4"/>
    <w:rsid w:val="00FF78C7"/>
    <w:rsid w:val="01BFEEF5"/>
    <w:rsid w:val="0371CFB5"/>
    <w:rsid w:val="040DACD1"/>
    <w:rsid w:val="046FA0A1"/>
    <w:rsid w:val="04E13472"/>
    <w:rsid w:val="0524131A"/>
    <w:rsid w:val="0595AF64"/>
    <w:rsid w:val="06BC0900"/>
    <w:rsid w:val="074A35A5"/>
    <w:rsid w:val="08B45270"/>
    <w:rsid w:val="0993E8A6"/>
    <w:rsid w:val="09A50556"/>
    <w:rsid w:val="0A6788F1"/>
    <w:rsid w:val="0C80643B"/>
    <w:rsid w:val="0ECF8F6A"/>
    <w:rsid w:val="0F7FB6F8"/>
    <w:rsid w:val="11E4F2E4"/>
    <w:rsid w:val="13112465"/>
    <w:rsid w:val="16D9F903"/>
    <w:rsid w:val="17311E0B"/>
    <w:rsid w:val="1831A451"/>
    <w:rsid w:val="1A30ED91"/>
    <w:rsid w:val="1B2E8349"/>
    <w:rsid w:val="1B479D5A"/>
    <w:rsid w:val="1E567175"/>
    <w:rsid w:val="20607968"/>
    <w:rsid w:val="20916CF5"/>
    <w:rsid w:val="21C06FBC"/>
    <w:rsid w:val="21CFFC51"/>
    <w:rsid w:val="244598F1"/>
    <w:rsid w:val="25A79495"/>
    <w:rsid w:val="262BAB81"/>
    <w:rsid w:val="28054928"/>
    <w:rsid w:val="290F4F05"/>
    <w:rsid w:val="2B7027D8"/>
    <w:rsid w:val="2B96F133"/>
    <w:rsid w:val="2CE56BDB"/>
    <w:rsid w:val="2D22EA45"/>
    <w:rsid w:val="30E59A6A"/>
    <w:rsid w:val="3192CE5C"/>
    <w:rsid w:val="331AA206"/>
    <w:rsid w:val="34615379"/>
    <w:rsid w:val="34E00EBD"/>
    <w:rsid w:val="357063DF"/>
    <w:rsid w:val="35A12AB7"/>
    <w:rsid w:val="388BF36E"/>
    <w:rsid w:val="38924AC4"/>
    <w:rsid w:val="398F984C"/>
    <w:rsid w:val="3A16D80C"/>
    <w:rsid w:val="3A229B28"/>
    <w:rsid w:val="3AA1B557"/>
    <w:rsid w:val="3BF4EC95"/>
    <w:rsid w:val="3C2D6B83"/>
    <w:rsid w:val="3C4FB92B"/>
    <w:rsid w:val="3DAFFA84"/>
    <w:rsid w:val="3ED8D523"/>
    <w:rsid w:val="40D45A33"/>
    <w:rsid w:val="418CC5EB"/>
    <w:rsid w:val="427348A7"/>
    <w:rsid w:val="440F3755"/>
    <w:rsid w:val="44840C06"/>
    <w:rsid w:val="45ABAE5B"/>
    <w:rsid w:val="4714C70C"/>
    <w:rsid w:val="4A132443"/>
    <w:rsid w:val="4C1FE13D"/>
    <w:rsid w:val="4CE8BB97"/>
    <w:rsid w:val="4F6944F4"/>
    <w:rsid w:val="4FDF6C3E"/>
    <w:rsid w:val="50507BAC"/>
    <w:rsid w:val="53591086"/>
    <w:rsid w:val="55B48B96"/>
    <w:rsid w:val="5625BB52"/>
    <w:rsid w:val="57BE050B"/>
    <w:rsid w:val="57D0A77A"/>
    <w:rsid w:val="57D19A00"/>
    <w:rsid w:val="5857E7A3"/>
    <w:rsid w:val="586E377F"/>
    <w:rsid w:val="59330D41"/>
    <w:rsid w:val="5BC5606F"/>
    <w:rsid w:val="5BDC17BE"/>
    <w:rsid w:val="5E25C5B3"/>
    <w:rsid w:val="5F8429A8"/>
    <w:rsid w:val="607D2CE2"/>
    <w:rsid w:val="60DE11FE"/>
    <w:rsid w:val="61783E1C"/>
    <w:rsid w:val="631F6036"/>
    <w:rsid w:val="638A352C"/>
    <w:rsid w:val="64AC7F11"/>
    <w:rsid w:val="64C2C067"/>
    <w:rsid w:val="65317B63"/>
    <w:rsid w:val="66397F4F"/>
    <w:rsid w:val="66557E33"/>
    <w:rsid w:val="6760FC64"/>
    <w:rsid w:val="688A28CD"/>
    <w:rsid w:val="68CE3256"/>
    <w:rsid w:val="6A01920B"/>
    <w:rsid w:val="6A1C32DD"/>
    <w:rsid w:val="6CE35367"/>
    <w:rsid w:val="6D4897A2"/>
    <w:rsid w:val="6D54E5F0"/>
    <w:rsid w:val="6D8C4729"/>
    <w:rsid w:val="6DEACA95"/>
    <w:rsid w:val="6E4F4A9E"/>
    <w:rsid w:val="6E5E4975"/>
    <w:rsid w:val="706FDF19"/>
    <w:rsid w:val="72BC930E"/>
    <w:rsid w:val="757E802B"/>
    <w:rsid w:val="777B1535"/>
    <w:rsid w:val="77B8198D"/>
    <w:rsid w:val="7865BDC8"/>
    <w:rsid w:val="7A222CB7"/>
    <w:rsid w:val="7A765035"/>
    <w:rsid w:val="7B390E9E"/>
    <w:rsid w:val="7E7DECA5"/>
    <w:rsid w:val="7F6AD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EDC5"/>
  <w15:docId w15:val="{2F000C73-E2E8-1444-B5FE-2A7CEA083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styleId="lev1" w:customStyle="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Hyperlien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styleId="NotedebasdepageCar" w:customStyle="1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styleId="NotedefinCar" w:customStyle="1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6F6E7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F6E76"/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6F6E7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F6E76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6F6E76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B07A5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3E75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C7A9EE5-495B-0E4C-B689-5216FA706262}">
  <we:reference id="WA200007559" version="12.4.0.0" store="Omex" storeType="OMEX"/>
  <we:alternateReferences>
    <we:reference id="WA200007559" version="12.4.0.0" store="WA200007559" storeType="OMEX"/>
  </we:alternateReferences>
  <we:properties>
    <we:property name="AntidoteWordID" value="&quot;daf910b2-bdec-4b73-a9d2-d6fa5f0707dc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3DC64A84A7814BB574C47048B12C93" ma:contentTypeVersion="15" ma:contentTypeDescription="Crée un document." ma:contentTypeScope="" ma:versionID="c9a703fc70d14881817d5f90d7575e09">
  <xsd:schema xmlns:xsd="http://www.w3.org/2001/XMLSchema" xmlns:xs="http://www.w3.org/2001/XMLSchema" xmlns:p="http://schemas.microsoft.com/office/2006/metadata/properties" xmlns:ns2="57708b91-43ce-4a18-a4ba-a55b9366dbb1" xmlns:ns3="329fb623-2329-446e-a553-588aaa71ca0d" targetNamespace="http://schemas.microsoft.com/office/2006/metadata/properties" ma:root="true" ma:fieldsID="e55c74371aa106f158ce7f491dd24378" ns2:_="" ns3:_="">
    <xsd:import namespace="57708b91-43ce-4a18-a4ba-a55b9366dbb1"/>
    <xsd:import namespace="329fb623-2329-446e-a553-588aaa71c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08b91-43ce-4a18-a4ba-a55b9366d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57f7e9f6-bceb-4371-b5c4-72ea25604b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fb623-2329-446e-a553-588aaa71ca0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462cb0d-eac8-424a-a84e-e7346deba42a}" ma:internalName="TaxCatchAll" ma:showField="CatchAllData" ma:web="329fb623-2329-446e-a553-588aaa71c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9fb623-2329-446e-a553-588aaa71ca0d" xsi:nil="true"/>
    <lcf76f155ced4ddcb4097134ff3c332f xmlns="57708b91-43ce-4a18-a4ba-a55b9366dbb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39B863-A346-49D1-B917-B30E0469D0B8}"/>
</file>

<file path=customXml/itemProps2.xml><?xml version="1.0" encoding="utf-8"?>
<ds:datastoreItem xmlns:ds="http://schemas.openxmlformats.org/officeDocument/2006/customXml" ds:itemID="{7A9296F2-1624-44E0-96FA-7423879CFABE}">
  <ds:schemaRefs>
    <ds:schemaRef ds:uri="http://schemas.microsoft.com/office/2006/metadata/properties"/>
    <ds:schemaRef ds:uri="http://schemas.microsoft.com/office/infopath/2007/PartnerControls"/>
    <ds:schemaRef ds:uri="89644d9e-0e6f-492d-8d70-4325867533af"/>
    <ds:schemaRef ds:uri="a7cb9fcf-8b97-401b-8ca5-6a8db4f5bc19"/>
    <ds:schemaRef ds:uri="0bde310c-cfeb-4299-9947-203120f73633"/>
    <ds:schemaRef ds:uri="a48714f7-a138-40bb-9404-625c73db62b8"/>
    <ds:schemaRef ds:uri="http://schemas.microsoft.com/sharepoint/v3"/>
    <ds:schemaRef ds:uri="f69c9462-edc3-4f12-a45e-7b3db376d223"/>
    <ds:schemaRef ds:uri="94d7a349-c8b0-4937-87f8-6e3063b96aea"/>
  </ds:schemaRefs>
</ds:datastoreItem>
</file>

<file path=customXml/itemProps3.xml><?xml version="1.0" encoding="utf-8"?>
<ds:datastoreItem xmlns:ds="http://schemas.openxmlformats.org/officeDocument/2006/customXml" ds:itemID="{CE043686-F9BE-4CC9-BE4A-0B5EA35E52D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8fa33a-09da-4f7d-a782-380be483c564}" enabled="0" method="" siteId="{068fa33a-09da-4f7d-a782-380be483c564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Émile Bordeleau-Pitre</lastModifiedBy>
  <revision>6</revision>
  <dcterms:created xsi:type="dcterms:W3CDTF">2026-09-16T15:49:00.0000000Z</dcterms:created>
  <dcterms:modified xsi:type="dcterms:W3CDTF">2026-09-17T16:04:33.5233837Z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0x010100363DC64A84A7814BB574C47048B12C93</vt:lpwstr>
  </property>
  <property fmtid="{D5CDD505-2E9C-101B-9397-08002B2CF9AE}" pid="3" name="csnSubRegion">
    <vt:lpwstr/>
  </property>
  <property fmtid="{D5CDD505-2E9C-101B-9397-08002B2CF9AE}" pid="4" name="csnFederation">
    <vt:lpwstr/>
  </property>
  <property fmtid="{D5CDD505-2E9C-101B-9397-08002B2CF9AE}" pid="5" name="csnCounsil">
    <vt:lpwstr/>
  </property>
  <property fmtid="{D5CDD505-2E9C-101B-9397-08002B2CF9AE}" pid="6" name="csnService">
    <vt:lpwstr/>
  </property>
  <property fmtid="{D5CDD505-2E9C-101B-9397-08002B2CF9AE}" pid="7" name="MediaServiceImageTags">
    <vt:lpwstr/>
  </property>
  <property fmtid="{D5CDD505-2E9C-101B-9397-08002B2CF9AE}" pid="8" name="csnWorkspaceClassification">
    <vt:lpwstr>1;#FNEEQ|e0a7669e-2b70-4c5c-89f0-82e453f8c17c</vt:lpwstr>
  </property>
  <property fmtid="{D5CDD505-2E9C-101B-9397-08002B2CF9AE}" pid="9" name="csnStatut">
    <vt:lpwstr/>
  </property>
  <property fmtid="{D5CDD505-2E9C-101B-9397-08002B2CF9AE}" pid="10" name="csnSubSector">
    <vt:lpwstr/>
  </property>
  <property fmtid="{D5CDD505-2E9C-101B-9397-08002B2CF9AE}" pid="11" name="csnSector">
    <vt:lpwstr>3;#Université|37a9f3f6-fba4-41c1-b3c3-546b14261013</vt:lpwstr>
  </property>
  <property fmtid="{D5CDD505-2E9C-101B-9397-08002B2CF9AE}" pid="12" name="csnObject">
    <vt:lpwstr/>
  </property>
  <property fmtid="{D5CDD505-2E9C-101B-9397-08002B2CF9AE}" pid="13" name="csnRegion">
    <vt:lpwstr/>
  </property>
  <property fmtid="{D5CDD505-2E9C-101B-9397-08002B2CF9AE}" pid="14" name="csnSyndicate">
    <vt:lpwstr/>
  </property>
  <property fmtid="{D5CDD505-2E9C-101B-9397-08002B2CF9AE}" pid="15" name="csnDocumentType">
    <vt:lpwstr/>
  </property>
</Properties>
</file>